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635ABF64"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F87725">
        <w:rPr>
          <w:bCs/>
          <w:noProof w:val="0"/>
          <w:sz w:val="24"/>
          <w:szCs w:val="24"/>
        </w:rPr>
        <w:t>6</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B363D6">
        <w:rPr>
          <w:bCs/>
          <w:noProof w:val="0"/>
          <w:sz w:val="24"/>
          <w:szCs w:val="24"/>
        </w:rPr>
        <w:t>2110810</w:t>
      </w:r>
    </w:p>
    <w:p w14:paraId="11776FA6" w14:textId="51155E42"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F87725">
        <w:rPr>
          <w:rFonts w:eastAsia="SimSun"/>
          <w:bCs/>
          <w:sz w:val="24"/>
          <w:szCs w:val="24"/>
          <w:lang w:eastAsia="zh-CN"/>
        </w:rPr>
        <w:t>01</w:t>
      </w:r>
      <w:r w:rsidR="006E1057" w:rsidRPr="006E1057">
        <w:rPr>
          <w:rFonts w:eastAsia="SimSun"/>
          <w:bCs/>
          <w:sz w:val="24"/>
          <w:szCs w:val="24"/>
          <w:lang w:eastAsia="zh-CN"/>
        </w:rPr>
        <w:t xml:space="preserve"> – </w:t>
      </w:r>
      <w:r w:rsidR="00F87725">
        <w:rPr>
          <w:rFonts w:eastAsia="SimSun"/>
          <w:bCs/>
          <w:sz w:val="24"/>
          <w:szCs w:val="24"/>
          <w:lang w:eastAsia="zh-CN"/>
        </w:rPr>
        <w:t>1</w:t>
      </w:r>
      <w:r w:rsidR="00840C27">
        <w:rPr>
          <w:rFonts w:eastAsia="SimSun"/>
          <w:bCs/>
          <w:sz w:val="24"/>
          <w:szCs w:val="24"/>
          <w:lang w:eastAsia="zh-CN"/>
        </w:rPr>
        <w:t>2</w:t>
      </w:r>
      <w:r w:rsidR="006E1057" w:rsidRPr="006E1057">
        <w:rPr>
          <w:rFonts w:eastAsia="SimSun"/>
          <w:bCs/>
          <w:sz w:val="24"/>
          <w:szCs w:val="24"/>
          <w:lang w:eastAsia="zh-CN"/>
        </w:rPr>
        <w:t xml:space="preserve"> </w:t>
      </w:r>
      <w:r w:rsidR="00F87725">
        <w:rPr>
          <w:rFonts w:eastAsia="SimSun"/>
          <w:bCs/>
          <w:sz w:val="24"/>
          <w:szCs w:val="24"/>
          <w:lang w:eastAsia="zh-CN"/>
        </w:rPr>
        <w:t>November</w:t>
      </w:r>
      <w:r w:rsidR="006E1057" w:rsidRPr="006E1057">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DC24E2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E7C67">
        <w:rPr>
          <w:rFonts w:cs="Arial"/>
          <w:b/>
          <w:bCs/>
          <w:sz w:val="24"/>
          <w:lang w:eastAsia="ja-JP"/>
        </w:rPr>
        <w:t>8.6.</w:t>
      </w:r>
      <w:r w:rsidR="00CD4F88">
        <w:rPr>
          <w:rFonts w:cs="Arial"/>
          <w:b/>
          <w:bCs/>
          <w:sz w:val="24"/>
          <w:lang w:eastAsia="ja-JP"/>
        </w:rPr>
        <w:t>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741EB8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D4F88">
        <w:rPr>
          <w:rFonts w:ascii="Arial" w:hAnsi="Arial" w:cs="Arial"/>
          <w:b/>
          <w:bCs/>
          <w:sz w:val="24"/>
        </w:rPr>
        <w:t>RA specific</w:t>
      </w:r>
      <w:r w:rsidR="006E7C67">
        <w:rPr>
          <w:rFonts w:ascii="Arial" w:hAnsi="Arial" w:cs="Arial"/>
          <w:b/>
          <w:bCs/>
          <w:sz w:val="24"/>
        </w:rPr>
        <w:t xml:space="preserve"> aspects for SDT</w:t>
      </w:r>
    </w:p>
    <w:p w14:paraId="1F147C23" w14:textId="08A63F1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E7C67" w:rsidRPr="006E7C67">
        <w:rPr>
          <w:rFonts w:ascii="Arial" w:hAnsi="Arial" w:cs="Arial"/>
          <w:b/>
          <w:bCs/>
          <w:sz w:val="24"/>
        </w:rPr>
        <w:t xml:space="preserve">NR_SmallData_INACTIVE-Core </w:t>
      </w:r>
      <w:r>
        <w:rPr>
          <w:rFonts w:ascii="Arial" w:hAnsi="Arial" w:cs="Arial"/>
          <w:b/>
          <w:bCs/>
          <w:sz w:val="24"/>
        </w:rPr>
        <w:t xml:space="preserve">- Release </w:t>
      </w:r>
      <w:r w:rsidR="006E7C67">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530608B2" w:rsidR="007F2E08" w:rsidRDefault="006E7C67" w:rsidP="00A209D6">
      <w:r>
        <w:t>The following point remained FFS from the previous meeting:</w:t>
      </w:r>
    </w:p>
    <w:tbl>
      <w:tblPr>
        <w:tblStyle w:val="TableGrid"/>
        <w:tblW w:w="0" w:type="auto"/>
        <w:tblLook w:val="04A0" w:firstRow="1" w:lastRow="0" w:firstColumn="1" w:lastColumn="0" w:noHBand="0" w:noVBand="1"/>
      </w:tblPr>
      <w:tblGrid>
        <w:gridCol w:w="9631"/>
      </w:tblGrid>
      <w:tr w:rsidR="00573312" w14:paraId="03A5A452" w14:textId="77777777" w:rsidTr="00573312">
        <w:tc>
          <w:tcPr>
            <w:tcW w:w="9631" w:type="dxa"/>
            <w:shd w:val="clear" w:color="auto" w:fill="F2F2F2" w:themeFill="background1" w:themeFillShade="F2"/>
          </w:tcPr>
          <w:p w14:paraId="29342419" w14:textId="77777777" w:rsidR="00573312" w:rsidRDefault="00573312" w:rsidP="00A209D6">
            <w:r w:rsidRPr="00573312">
              <w:t>5.</w:t>
            </w:r>
            <w:r w:rsidRPr="00573312">
              <w:tab/>
              <w:t xml:space="preserve">For the RA-SDT preamble group selection, the UE should consider SDT data size plus MAC subheader in addition to CCCH SDU size plus MAC subheader and pathloss, same in legacy.  FFS whether any additional things on top of legacy criteria is needed.  </w:t>
            </w:r>
          </w:p>
          <w:p w14:paraId="2A3663F6" w14:textId="1CB93E3D" w:rsidR="00573312" w:rsidRDefault="00573312" w:rsidP="00A209D6">
            <w:r w:rsidRPr="00573312">
              <w:t>10.</w:t>
            </w:r>
            <w:r w:rsidRPr="00573312">
              <w:tab/>
              <w:t>RA-SDT can be configured on initial BWP.  FFS for non-initial BWP</w:t>
            </w:r>
          </w:p>
        </w:tc>
      </w:tr>
    </w:tbl>
    <w:p w14:paraId="29886EBB" w14:textId="321C0043" w:rsidR="00573312" w:rsidRDefault="00573312" w:rsidP="00A209D6"/>
    <w:p w14:paraId="7742DF3B" w14:textId="3823B358" w:rsidR="00873861" w:rsidRDefault="00873861" w:rsidP="00A209D6">
      <w:r>
        <w:t>It appears RAN1 agreed that RA-SDT cannot be configured on non-initial BWP so this FFS is resolved there.</w:t>
      </w:r>
    </w:p>
    <w:p w14:paraId="0464432C" w14:textId="68EA640F" w:rsidR="006E7C67" w:rsidRDefault="006E7C67" w:rsidP="00A209D6">
      <w:r>
        <w:t>In this contribution, we discuss the</w:t>
      </w:r>
      <w:r w:rsidR="00873861">
        <w:t xml:space="preserve"> leftover</w:t>
      </w:r>
      <w:r>
        <w:t xml:space="preserve"> FFS point as well as other issues.</w:t>
      </w:r>
    </w:p>
    <w:p w14:paraId="4F547731" w14:textId="247BA9A7" w:rsidR="00A209D6" w:rsidRPr="006E13D1" w:rsidRDefault="00A209D6" w:rsidP="00B7538C">
      <w:pPr>
        <w:pStyle w:val="Heading1"/>
      </w:pPr>
      <w:r w:rsidRPr="006E13D1">
        <w:t>2</w:t>
      </w:r>
      <w:r w:rsidRPr="006E13D1">
        <w:tab/>
      </w:r>
      <w:r w:rsidR="006E7C67">
        <w:t>Discussion</w:t>
      </w:r>
    </w:p>
    <w:p w14:paraId="5F01C058" w14:textId="7A77CBCC" w:rsidR="00A209D6" w:rsidRPr="006E13D1" w:rsidRDefault="00B7538C" w:rsidP="00A209D6">
      <w:pPr>
        <w:pStyle w:val="Heading2"/>
      </w:pPr>
      <w:r>
        <w:t>2</w:t>
      </w:r>
      <w:r w:rsidR="00A209D6" w:rsidRPr="006E13D1">
        <w:t>.1</w:t>
      </w:r>
      <w:r w:rsidR="00A209D6" w:rsidRPr="006E13D1">
        <w:tab/>
      </w:r>
      <w:r w:rsidR="00573312">
        <w:t>Preambles group selection</w:t>
      </w:r>
    </w:p>
    <w:p w14:paraId="3380CBB1" w14:textId="5EAD0DB1" w:rsidR="000357A2" w:rsidRDefault="00573312" w:rsidP="00573312">
      <w:r>
        <w:t>It was left FFS whether anything on top of the legacy condition to select between Preambles groups A and B should be considered for SDT procedure. The legacy condition is provided below for convenience (TS 38.321):</w:t>
      </w:r>
    </w:p>
    <w:tbl>
      <w:tblPr>
        <w:tblStyle w:val="TableGrid"/>
        <w:tblW w:w="0" w:type="auto"/>
        <w:tblLook w:val="04A0" w:firstRow="1" w:lastRow="0" w:firstColumn="1" w:lastColumn="0" w:noHBand="0" w:noVBand="1"/>
      </w:tblPr>
      <w:tblGrid>
        <w:gridCol w:w="9631"/>
      </w:tblGrid>
      <w:tr w:rsidR="00573312" w14:paraId="06307A1B" w14:textId="77777777" w:rsidTr="00573312">
        <w:tc>
          <w:tcPr>
            <w:tcW w:w="9631" w:type="dxa"/>
            <w:shd w:val="clear" w:color="auto" w:fill="F2F2F2" w:themeFill="background1" w:themeFillShade="F2"/>
          </w:tcPr>
          <w:p w14:paraId="40F797C5" w14:textId="77777777" w:rsidR="00573312" w:rsidRPr="00573312" w:rsidRDefault="00573312" w:rsidP="00573312">
            <w:pPr>
              <w:overflowPunct w:val="0"/>
              <w:autoSpaceDE w:val="0"/>
              <w:autoSpaceDN w:val="0"/>
              <w:adjustRightInd w:val="0"/>
              <w:ind w:left="1135" w:hanging="284"/>
              <w:textAlignment w:val="baseline"/>
              <w:rPr>
                <w:lang w:eastAsia="ko-KR"/>
              </w:rPr>
            </w:pPr>
            <w:r w:rsidRPr="00573312">
              <w:rPr>
                <w:lang w:eastAsia="ko-KR"/>
              </w:rPr>
              <w:t>3&gt;</w:t>
            </w:r>
            <w:r w:rsidRPr="00573312">
              <w:rPr>
                <w:lang w:eastAsia="ko-KR"/>
              </w:rPr>
              <w:tab/>
              <w:t xml:space="preserve">if Random Access Preambles </w:t>
            </w:r>
            <w:proofErr w:type="gramStart"/>
            <w:r w:rsidRPr="00573312">
              <w:rPr>
                <w:lang w:eastAsia="ko-KR"/>
              </w:rPr>
              <w:t>group</w:t>
            </w:r>
            <w:proofErr w:type="gramEnd"/>
            <w:r w:rsidRPr="00573312">
              <w:rPr>
                <w:lang w:eastAsia="ko-KR"/>
              </w:rPr>
              <w:t xml:space="preserve"> B is configured:</w:t>
            </w:r>
          </w:p>
          <w:p w14:paraId="75863EE6" w14:textId="77777777" w:rsidR="00573312" w:rsidRPr="00573312" w:rsidRDefault="00573312" w:rsidP="00573312">
            <w:pPr>
              <w:overflowPunct w:val="0"/>
              <w:autoSpaceDE w:val="0"/>
              <w:autoSpaceDN w:val="0"/>
              <w:adjustRightInd w:val="0"/>
              <w:ind w:left="1418" w:hanging="284"/>
              <w:textAlignment w:val="baseline"/>
              <w:rPr>
                <w:lang w:eastAsia="ko-KR"/>
              </w:rPr>
            </w:pPr>
            <w:r w:rsidRPr="00573312">
              <w:rPr>
                <w:lang w:eastAsia="ko-KR"/>
              </w:rPr>
              <w:t>4&gt;</w:t>
            </w:r>
            <w:r w:rsidRPr="00573312">
              <w:rPr>
                <w:lang w:eastAsia="ko-KR"/>
              </w:rPr>
              <w:tab/>
              <w:t xml:space="preserve">if the potential Msg3 size (UL data available for transmission plus MAC subheader(s) and, where required, MAC CEs) is greater than </w:t>
            </w:r>
            <w:r w:rsidRPr="00573312">
              <w:rPr>
                <w:i/>
                <w:lang w:eastAsia="ko-KR"/>
              </w:rPr>
              <w:t>ra-Msg3SizeGroupA</w:t>
            </w:r>
            <w:r w:rsidRPr="00573312">
              <w:rPr>
                <w:lang w:eastAsia="ko-KR"/>
              </w:rPr>
              <w:t xml:space="preserve"> and the pathloss is less than </w:t>
            </w:r>
            <w:r w:rsidRPr="00573312">
              <w:rPr>
                <w:i/>
                <w:lang w:eastAsia="ko-KR"/>
              </w:rPr>
              <w:t>PCMAX</w:t>
            </w:r>
            <w:r w:rsidRPr="00573312">
              <w:rPr>
                <w:lang w:eastAsia="ko-KR"/>
              </w:rPr>
              <w:t xml:space="preserve"> (of the Serving Cell performing the </w:t>
            </w:r>
            <w:proofErr w:type="gramStart"/>
            <w:r w:rsidRPr="00573312">
              <w:rPr>
                <w:lang w:eastAsia="ko-KR"/>
              </w:rPr>
              <w:t>Random Access</w:t>
            </w:r>
            <w:proofErr w:type="gramEnd"/>
            <w:r w:rsidRPr="00573312">
              <w:rPr>
                <w:lang w:eastAsia="ko-KR"/>
              </w:rPr>
              <w:t xml:space="preserve"> Procedure) – </w:t>
            </w:r>
            <w:r w:rsidRPr="00573312">
              <w:rPr>
                <w:i/>
                <w:lang w:eastAsia="ko-KR"/>
              </w:rPr>
              <w:t>preambleReceivedTargetPower</w:t>
            </w:r>
            <w:r w:rsidRPr="00573312">
              <w:rPr>
                <w:lang w:eastAsia="ja-JP"/>
              </w:rPr>
              <w:t xml:space="preserve"> </w:t>
            </w:r>
            <w:r w:rsidRPr="00573312">
              <w:rPr>
                <w:lang w:eastAsia="ko-KR"/>
              </w:rPr>
              <w:t>–</w:t>
            </w:r>
            <w:r w:rsidRPr="00573312">
              <w:rPr>
                <w:lang w:eastAsia="ja-JP"/>
              </w:rPr>
              <w:t xml:space="preserve"> </w:t>
            </w:r>
            <w:r w:rsidRPr="00573312">
              <w:rPr>
                <w:i/>
                <w:lang w:eastAsia="ko-KR"/>
              </w:rPr>
              <w:t>msg3-DeltaPreamble</w:t>
            </w:r>
            <w:r w:rsidRPr="00573312">
              <w:rPr>
                <w:lang w:eastAsia="ja-JP"/>
              </w:rPr>
              <w:t xml:space="preserve"> </w:t>
            </w:r>
            <w:r w:rsidRPr="00573312">
              <w:rPr>
                <w:lang w:eastAsia="ko-KR"/>
              </w:rPr>
              <w:t>–</w:t>
            </w:r>
            <w:r w:rsidRPr="00573312">
              <w:rPr>
                <w:lang w:eastAsia="ja-JP"/>
              </w:rPr>
              <w:t xml:space="preserve"> </w:t>
            </w:r>
            <w:r w:rsidRPr="00573312">
              <w:rPr>
                <w:i/>
                <w:lang w:eastAsia="ko-KR"/>
              </w:rPr>
              <w:t>messagePowerOffsetGroupB</w:t>
            </w:r>
            <w:r w:rsidRPr="00573312">
              <w:rPr>
                <w:lang w:eastAsia="ko-KR"/>
              </w:rPr>
              <w:t>; or</w:t>
            </w:r>
          </w:p>
          <w:p w14:paraId="3A27F1B2" w14:textId="77777777" w:rsidR="00573312" w:rsidRPr="00573312" w:rsidRDefault="00573312" w:rsidP="00573312">
            <w:pPr>
              <w:overflowPunct w:val="0"/>
              <w:autoSpaceDE w:val="0"/>
              <w:autoSpaceDN w:val="0"/>
              <w:adjustRightInd w:val="0"/>
              <w:ind w:left="1418" w:hanging="284"/>
              <w:textAlignment w:val="baseline"/>
              <w:rPr>
                <w:lang w:eastAsia="ko-KR"/>
              </w:rPr>
            </w:pPr>
            <w:r w:rsidRPr="00573312">
              <w:rPr>
                <w:lang w:eastAsia="ko-KR"/>
              </w:rPr>
              <w:t>4&gt;</w:t>
            </w:r>
            <w:r w:rsidRPr="00573312">
              <w:rPr>
                <w:lang w:eastAsia="ko-KR"/>
              </w:rPr>
              <w:tab/>
              <w:t xml:space="preserve">if the </w:t>
            </w:r>
            <w:proofErr w:type="gramStart"/>
            <w:r w:rsidRPr="00573312">
              <w:rPr>
                <w:lang w:eastAsia="ko-KR"/>
              </w:rPr>
              <w:t>Random Access</w:t>
            </w:r>
            <w:proofErr w:type="gramEnd"/>
            <w:r w:rsidRPr="00573312">
              <w:rPr>
                <w:lang w:eastAsia="ko-KR"/>
              </w:rPr>
              <w:t xml:space="preserve"> procedure was initiated for the CCCH logical channel and the CCCH SDU size plus MAC subheader is greater than </w:t>
            </w:r>
            <w:r w:rsidRPr="00573312">
              <w:rPr>
                <w:i/>
                <w:lang w:eastAsia="ko-KR"/>
              </w:rPr>
              <w:t>ra-Msg3SizeGroupA</w:t>
            </w:r>
            <w:r w:rsidRPr="00573312">
              <w:rPr>
                <w:lang w:eastAsia="ko-KR"/>
              </w:rPr>
              <w:t>:</w:t>
            </w:r>
          </w:p>
          <w:p w14:paraId="2970021F" w14:textId="77777777" w:rsidR="00573312" w:rsidRPr="00573312" w:rsidRDefault="00573312" w:rsidP="00573312">
            <w:pPr>
              <w:overflowPunct w:val="0"/>
              <w:autoSpaceDE w:val="0"/>
              <w:autoSpaceDN w:val="0"/>
              <w:adjustRightInd w:val="0"/>
              <w:ind w:left="1702" w:hanging="284"/>
              <w:textAlignment w:val="baseline"/>
              <w:rPr>
                <w:lang w:eastAsia="ko-KR"/>
              </w:rPr>
            </w:pPr>
            <w:r w:rsidRPr="00573312">
              <w:rPr>
                <w:lang w:eastAsia="ko-KR"/>
              </w:rPr>
              <w:t>5&gt;</w:t>
            </w:r>
            <w:r w:rsidRPr="00573312">
              <w:rPr>
                <w:lang w:eastAsia="ko-KR"/>
              </w:rPr>
              <w:tab/>
              <w:t xml:space="preserve">select the </w:t>
            </w:r>
            <w:proofErr w:type="gramStart"/>
            <w:r w:rsidRPr="00573312">
              <w:rPr>
                <w:lang w:eastAsia="ko-KR"/>
              </w:rPr>
              <w:t>Random Access</w:t>
            </w:r>
            <w:proofErr w:type="gramEnd"/>
            <w:r w:rsidRPr="00573312">
              <w:rPr>
                <w:lang w:eastAsia="ko-KR"/>
              </w:rPr>
              <w:t xml:space="preserve"> Preambles group B.</w:t>
            </w:r>
          </w:p>
          <w:p w14:paraId="490E2B8A" w14:textId="77777777" w:rsidR="00573312" w:rsidRPr="00573312" w:rsidRDefault="00573312" w:rsidP="00573312">
            <w:pPr>
              <w:overflowPunct w:val="0"/>
              <w:autoSpaceDE w:val="0"/>
              <w:autoSpaceDN w:val="0"/>
              <w:adjustRightInd w:val="0"/>
              <w:ind w:left="1418" w:hanging="284"/>
              <w:textAlignment w:val="baseline"/>
              <w:rPr>
                <w:lang w:eastAsia="ko-KR"/>
              </w:rPr>
            </w:pPr>
            <w:r w:rsidRPr="00573312">
              <w:rPr>
                <w:lang w:eastAsia="ko-KR"/>
              </w:rPr>
              <w:t>4&gt;</w:t>
            </w:r>
            <w:r w:rsidRPr="00573312">
              <w:rPr>
                <w:lang w:eastAsia="ko-KR"/>
              </w:rPr>
              <w:tab/>
              <w:t>else:</w:t>
            </w:r>
          </w:p>
          <w:p w14:paraId="3FA92387" w14:textId="77777777" w:rsidR="00573312" w:rsidRPr="00573312" w:rsidRDefault="00573312" w:rsidP="00573312">
            <w:pPr>
              <w:overflowPunct w:val="0"/>
              <w:autoSpaceDE w:val="0"/>
              <w:autoSpaceDN w:val="0"/>
              <w:adjustRightInd w:val="0"/>
              <w:ind w:left="1702" w:hanging="284"/>
              <w:textAlignment w:val="baseline"/>
              <w:rPr>
                <w:lang w:eastAsia="ko-KR"/>
              </w:rPr>
            </w:pPr>
            <w:r w:rsidRPr="00573312">
              <w:rPr>
                <w:lang w:eastAsia="ko-KR"/>
              </w:rPr>
              <w:t>5&gt;</w:t>
            </w:r>
            <w:r w:rsidRPr="00573312">
              <w:rPr>
                <w:lang w:eastAsia="ko-KR"/>
              </w:rPr>
              <w:tab/>
              <w:t xml:space="preserve">select the </w:t>
            </w:r>
            <w:proofErr w:type="gramStart"/>
            <w:r w:rsidRPr="00573312">
              <w:rPr>
                <w:lang w:eastAsia="ko-KR"/>
              </w:rPr>
              <w:t>Random Access</w:t>
            </w:r>
            <w:proofErr w:type="gramEnd"/>
            <w:r w:rsidRPr="00573312">
              <w:rPr>
                <w:lang w:eastAsia="ko-KR"/>
              </w:rPr>
              <w:t xml:space="preserve"> Preambles group A.</w:t>
            </w:r>
          </w:p>
          <w:p w14:paraId="56C4B614" w14:textId="77777777" w:rsidR="00573312" w:rsidRPr="00573312" w:rsidRDefault="00573312" w:rsidP="00573312">
            <w:pPr>
              <w:overflowPunct w:val="0"/>
              <w:autoSpaceDE w:val="0"/>
              <w:autoSpaceDN w:val="0"/>
              <w:adjustRightInd w:val="0"/>
              <w:ind w:left="1135" w:hanging="284"/>
              <w:textAlignment w:val="baseline"/>
              <w:rPr>
                <w:lang w:eastAsia="ko-KR"/>
              </w:rPr>
            </w:pPr>
            <w:r w:rsidRPr="00573312">
              <w:rPr>
                <w:lang w:eastAsia="ko-KR"/>
              </w:rPr>
              <w:t>3&gt;</w:t>
            </w:r>
            <w:r w:rsidRPr="00573312">
              <w:rPr>
                <w:lang w:eastAsia="ko-KR"/>
              </w:rPr>
              <w:tab/>
              <w:t>else:</w:t>
            </w:r>
          </w:p>
          <w:p w14:paraId="58BA8295" w14:textId="4E6D3F7D" w:rsidR="00573312" w:rsidRPr="00573312" w:rsidRDefault="00573312" w:rsidP="00573312">
            <w:pPr>
              <w:overflowPunct w:val="0"/>
              <w:autoSpaceDE w:val="0"/>
              <w:autoSpaceDN w:val="0"/>
              <w:adjustRightInd w:val="0"/>
              <w:ind w:left="1418" w:hanging="284"/>
              <w:textAlignment w:val="baseline"/>
              <w:rPr>
                <w:lang w:eastAsia="ko-KR"/>
              </w:rPr>
            </w:pPr>
            <w:r w:rsidRPr="00573312">
              <w:rPr>
                <w:lang w:eastAsia="ko-KR"/>
              </w:rPr>
              <w:t>4&gt;</w:t>
            </w:r>
            <w:r w:rsidRPr="00573312">
              <w:rPr>
                <w:lang w:eastAsia="ko-KR"/>
              </w:rPr>
              <w:tab/>
              <w:t xml:space="preserve">select the </w:t>
            </w:r>
            <w:proofErr w:type="gramStart"/>
            <w:r w:rsidRPr="00573312">
              <w:rPr>
                <w:lang w:eastAsia="ko-KR"/>
              </w:rPr>
              <w:t>Random Access</w:t>
            </w:r>
            <w:proofErr w:type="gramEnd"/>
            <w:r w:rsidRPr="00573312">
              <w:rPr>
                <w:lang w:eastAsia="ko-KR"/>
              </w:rPr>
              <w:t xml:space="preserve"> Preambles group A.</w:t>
            </w:r>
          </w:p>
        </w:tc>
      </w:tr>
    </w:tbl>
    <w:p w14:paraId="47C2DA9C" w14:textId="50296CDC" w:rsidR="00573312" w:rsidRDefault="00573312" w:rsidP="00573312">
      <w:pPr>
        <w:rPr>
          <w:b/>
          <w:bCs/>
        </w:rPr>
      </w:pPr>
    </w:p>
    <w:p w14:paraId="60421494" w14:textId="34C6BA3B" w:rsidR="00573312" w:rsidRDefault="00573312" w:rsidP="00573312">
      <w:r>
        <w:t xml:space="preserve">As can be seen above, the current condition takes already into account the UL data available for transmission as well as MAC CEs. Furthermore, the CCCH SDU size is accounted if its size is greater than configured </w:t>
      </w:r>
      <w:r>
        <w:rPr>
          <w:i/>
          <w:iCs/>
        </w:rPr>
        <w:t>ra-Msg3SizeGroupA</w:t>
      </w:r>
      <w:r>
        <w:t>. Same approach applies for 2-step RACH.</w:t>
      </w:r>
    </w:p>
    <w:p w14:paraId="46E329CC" w14:textId="4B741226" w:rsidR="00573312" w:rsidRDefault="00573312" w:rsidP="00573312">
      <w:r>
        <w:lastRenderedPageBreak/>
        <w:t>It seems clear no new conditions for SDT are required on top.</w:t>
      </w:r>
    </w:p>
    <w:p w14:paraId="3EE92049" w14:textId="60D62188" w:rsidR="00573312" w:rsidRDefault="00573312" w:rsidP="00573312">
      <w:pPr>
        <w:rPr>
          <w:b/>
          <w:bCs/>
        </w:rPr>
      </w:pPr>
      <w:r>
        <w:rPr>
          <w:b/>
          <w:bCs/>
        </w:rPr>
        <w:t>Proposal 1: Legacy conditions are sufficient for Preambles group selection.</w:t>
      </w:r>
    </w:p>
    <w:p w14:paraId="11D14BF4" w14:textId="121BF861" w:rsidR="00573312" w:rsidRDefault="00873861" w:rsidP="00873861">
      <w:pPr>
        <w:pStyle w:val="Heading2"/>
      </w:pPr>
      <w:r>
        <w:t>2.2</w:t>
      </w:r>
      <w:r>
        <w:tab/>
        <w:t>SR trigger handling</w:t>
      </w:r>
    </w:p>
    <w:p w14:paraId="56146220" w14:textId="306AFC3F" w:rsidR="00873861" w:rsidRDefault="00873861" w:rsidP="00873861">
      <w:r>
        <w:t>As agreed previously, no SR resources are configured for UE to use in RRC_INACTIVE during the SDT procedure. Hence, whenever a BSR is triggered, an SR and consequently an RA procedure is triggered to request for UL resources during the RA-SDT procedure as no periodic resources exist like in CG-SDT procedure.</w:t>
      </w:r>
    </w:p>
    <w:p w14:paraId="135BB72F" w14:textId="6A83262E" w:rsidR="00873861" w:rsidRDefault="00873861" w:rsidP="00873861">
      <w:r>
        <w:t>As the NW is aware of the ongoing SDT procedure, triggering and performing RA for UL resource request may many times be unnecessary given the NW would anyway provide UL resources to the UE. The problem becomes especially with 2-step RA procedure where the MsgB does not come with UL grant but only DL transmission with contention resolution and TAC command. If the BSR was not included in MSGA, the BSR would subsequently trigger RA procedure to request UL resources – this problem did not exist in Rel-16 as BSR could be triggered only in CONNECTED mode.</w:t>
      </w:r>
    </w:p>
    <w:p w14:paraId="445CADE5" w14:textId="3B0BC5AB" w:rsidR="00873861" w:rsidRDefault="00873861" w:rsidP="00873861">
      <w:r>
        <w:t xml:space="preserve">To prevent frequent RA triggers, it should be possible for the NW to control how long time the UE shall wait before triggering RA procedure upon SR trigger. This would give NW time to provide UL grant and prevent the unnecessary RA procedure during the SDT procedure. </w:t>
      </w:r>
    </w:p>
    <w:p w14:paraId="4457E8A1" w14:textId="6E43D33D" w:rsidR="00873861" w:rsidRPr="00873861" w:rsidRDefault="00873861" w:rsidP="00873861">
      <w:pPr>
        <w:rPr>
          <w:b/>
          <w:bCs/>
        </w:rPr>
      </w:pPr>
      <w:r>
        <w:rPr>
          <w:b/>
          <w:bCs/>
        </w:rPr>
        <w:t>Proposal 2: To prevent frequent RA triggers due to BSR triggers, it should be possible for the NW to control how long time the UE shall wait before triggering RA procedure upon SR trigger.</w:t>
      </w:r>
    </w:p>
    <w:p w14:paraId="5FF2457F" w14:textId="4ADBBB53" w:rsidR="00A209D6" w:rsidRPr="006E13D1" w:rsidRDefault="00F9640D" w:rsidP="00A209D6">
      <w:pPr>
        <w:pStyle w:val="Heading1"/>
      </w:pPr>
      <w:r>
        <w:t>3</w:t>
      </w:r>
      <w:r w:rsidR="00A209D6" w:rsidRPr="006E13D1">
        <w:tab/>
      </w:r>
      <w:r w:rsidR="008C3057">
        <w:t>Conclusion</w:t>
      </w:r>
    </w:p>
    <w:p w14:paraId="717420C8" w14:textId="77777777" w:rsidR="00F47384" w:rsidRDefault="00F47384" w:rsidP="00F47384">
      <w:pPr>
        <w:rPr>
          <w:b/>
          <w:bCs/>
        </w:rPr>
      </w:pPr>
      <w:r>
        <w:rPr>
          <w:b/>
          <w:bCs/>
        </w:rPr>
        <w:t>Proposal 1: Legacy conditions are sufficient for Preambles group selection.</w:t>
      </w:r>
    </w:p>
    <w:p w14:paraId="0F1A8096" w14:textId="77777777" w:rsidR="00F47384" w:rsidRPr="00873861" w:rsidRDefault="00F47384" w:rsidP="00F47384">
      <w:pPr>
        <w:rPr>
          <w:b/>
          <w:bCs/>
        </w:rPr>
      </w:pPr>
      <w:r>
        <w:rPr>
          <w:b/>
          <w:bCs/>
        </w:rPr>
        <w:t>Proposal 2: To prevent frequent RA triggers due to BSR triggers, it should be possible for the NW to control how long time the UE shall wait before triggering RA procedure upon SR trigger.</w:t>
      </w:r>
    </w:p>
    <w:p w14:paraId="35F222F4" w14:textId="218E76E6" w:rsidR="00080512" w:rsidRPr="00A209D6" w:rsidRDefault="00080512" w:rsidP="00F47384"/>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4C2BC0" w14:textId="77777777" w:rsidR="00E859B6" w:rsidRDefault="00E859B6">
      <w:r>
        <w:separator/>
      </w:r>
    </w:p>
  </w:endnote>
  <w:endnote w:type="continuationSeparator" w:id="0">
    <w:p w14:paraId="4E387D3F" w14:textId="77777777" w:rsidR="00E859B6" w:rsidRDefault="00E859B6">
      <w:r>
        <w:continuationSeparator/>
      </w:r>
    </w:p>
  </w:endnote>
  <w:endnote w:type="continuationNotice" w:id="1">
    <w:p w14:paraId="24B5432A" w14:textId="77777777" w:rsidR="00E859B6" w:rsidRDefault="00E85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1AE1B7" w14:textId="77777777" w:rsidR="00E859B6" w:rsidRDefault="00E859B6">
      <w:r>
        <w:separator/>
      </w:r>
    </w:p>
  </w:footnote>
  <w:footnote w:type="continuationSeparator" w:id="0">
    <w:p w14:paraId="57845BE7" w14:textId="77777777" w:rsidR="00E859B6" w:rsidRDefault="00E859B6">
      <w:r>
        <w:continuationSeparator/>
      </w:r>
    </w:p>
  </w:footnote>
  <w:footnote w:type="continuationNotice" w:id="1">
    <w:p w14:paraId="59327D66" w14:textId="77777777" w:rsidR="00E859B6" w:rsidRDefault="00E859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357A2"/>
    <w:rsid w:val="00040095"/>
    <w:rsid w:val="00065268"/>
    <w:rsid w:val="00073C9C"/>
    <w:rsid w:val="00080512"/>
    <w:rsid w:val="00090468"/>
    <w:rsid w:val="00094568"/>
    <w:rsid w:val="000B7BCF"/>
    <w:rsid w:val="000C522B"/>
    <w:rsid w:val="000D58AB"/>
    <w:rsid w:val="000F030B"/>
    <w:rsid w:val="00112F1A"/>
    <w:rsid w:val="00145075"/>
    <w:rsid w:val="001741A0"/>
    <w:rsid w:val="00175FA0"/>
    <w:rsid w:val="00194CD0"/>
    <w:rsid w:val="001B49C9"/>
    <w:rsid w:val="001C23F4"/>
    <w:rsid w:val="001C4F79"/>
    <w:rsid w:val="001F168B"/>
    <w:rsid w:val="001F7831"/>
    <w:rsid w:val="00204045"/>
    <w:rsid w:val="0020712B"/>
    <w:rsid w:val="0022606D"/>
    <w:rsid w:val="00231728"/>
    <w:rsid w:val="00244A05"/>
    <w:rsid w:val="00250404"/>
    <w:rsid w:val="002610D8"/>
    <w:rsid w:val="002747EC"/>
    <w:rsid w:val="002855BF"/>
    <w:rsid w:val="002D55FF"/>
    <w:rsid w:val="002F0D22"/>
    <w:rsid w:val="00311B17"/>
    <w:rsid w:val="003172D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65587"/>
    <w:rsid w:val="00477455"/>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73312"/>
    <w:rsid w:val="005A392D"/>
    <w:rsid w:val="005A49C6"/>
    <w:rsid w:val="00611566"/>
    <w:rsid w:val="00646D99"/>
    <w:rsid w:val="00656910"/>
    <w:rsid w:val="006574C0"/>
    <w:rsid w:val="00696821"/>
    <w:rsid w:val="006C66D8"/>
    <w:rsid w:val="006D1E24"/>
    <w:rsid w:val="006D35DE"/>
    <w:rsid w:val="006E1057"/>
    <w:rsid w:val="006E1417"/>
    <w:rsid w:val="006E7C6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8A4"/>
    <w:rsid w:val="00813245"/>
    <w:rsid w:val="00840C27"/>
    <w:rsid w:val="00840DE0"/>
    <w:rsid w:val="008607A8"/>
    <w:rsid w:val="0086354A"/>
    <w:rsid w:val="00873861"/>
    <w:rsid w:val="008768CA"/>
    <w:rsid w:val="00877EF9"/>
    <w:rsid w:val="00880559"/>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22738"/>
    <w:rsid w:val="00A430EC"/>
    <w:rsid w:val="00A53724"/>
    <w:rsid w:val="00A54B2B"/>
    <w:rsid w:val="00A82346"/>
    <w:rsid w:val="00A9671C"/>
    <w:rsid w:val="00AA1553"/>
    <w:rsid w:val="00B05380"/>
    <w:rsid w:val="00B05962"/>
    <w:rsid w:val="00B15449"/>
    <w:rsid w:val="00B16C2F"/>
    <w:rsid w:val="00B269B9"/>
    <w:rsid w:val="00B27303"/>
    <w:rsid w:val="00B363D6"/>
    <w:rsid w:val="00B47FD1"/>
    <w:rsid w:val="00B516BB"/>
    <w:rsid w:val="00B606E6"/>
    <w:rsid w:val="00B7538C"/>
    <w:rsid w:val="00B84DB2"/>
    <w:rsid w:val="00BC3555"/>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4F88"/>
    <w:rsid w:val="00CD58FE"/>
    <w:rsid w:val="00D212B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22EE"/>
    <w:rsid w:val="00E46C08"/>
    <w:rsid w:val="00E471CF"/>
    <w:rsid w:val="00E62835"/>
    <w:rsid w:val="00E77645"/>
    <w:rsid w:val="00E83697"/>
    <w:rsid w:val="00E859B6"/>
    <w:rsid w:val="00EA66C9"/>
    <w:rsid w:val="00EC4A25"/>
    <w:rsid w:val="00EF612C"/>
    <w:rsid w:val="00F025A2"/>
    <w:rsid w:val="00F036E9"/>
    <w:rsid w:val="00F07388"/>
    <w:rsid w:val="00F2026E"/>
    <w:rsid w:val="00F2210A"/>
    <w:rsid w:val="00F23E2E"/>
    <w:rsid w:val="00F31372"/>
    <w:rsid w:val="00F37743"/>
    <w:rsid w:val="00F47384"/>
    <w:rsid w:val="00F54A3D"/>
    <w:rsid w:val="00F54CB0"/>
    <w:rsid w:val="00F579CD"/>
    <w:rsid w:val="00F653B8"/>
    <w:rsid w:val="00F71B89"/>
    <w:rsid w:val="00F7353C"/>
    <w:rsid w:val="00F76F8F"/>
    <w:rsid w:val="00F87725"/>
    <w:rsid w:val="00F941DF"/>
    <w:rsid w:val="00F956F8"/>
    <w:rsid w:val="00F9640D"/>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6E7C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5AIRPNAIUNRU-859666464-9695</_dlc_DocId>
    <_dlc_DocIdUrl xmlns="71c5aaf6-e6ce-465b-b873-5148d2a4c105">
      <Url>https://nokia.sharepoint.com/sites/c5g/e2earch/_layouts/15/DocIdRedir.aspx?ID=5AIRPNAIUNRU-859666464-9695</Url>
      <Description>5AIRPNAIUNRU-859666464-9695</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openxmlformats.org/package/2006/metadata/core-properties"/>
    <ds:schemaRef ds:uri="http://purl.org/dc/terms/"/>
    <ds:schemaRef ds:uri="http://purl.org/dc/dcmitype/"/>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83f22d2f-d16e-4be6-ad4f-29fa0b067c3c"/>
    <ds:schemaRef ds:uri="a3840f4f-04be-43d1-b2ef-6ff1382503c7"/>
    <ds:schemaRef ds:uri="http://www.w3.org/XML/1998/namespace"/>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625</Words>
  <Characters>3215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3833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(Samuli)</cp:lastModifiedBy>
  <cp:revision>5</cp:revision>
  <dcterms:created xsi:type="dcterms:W3CDTF">2021-10-19T13:36:00Z</dcterms:created>
  <dcterms:modified xsi:type="dcterms:W3CDTF">2021-10-21T17:49:00Z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49bcad51-34b2-460a-be41-eba6ad35f037</vt:lpwstr>
  </property>
</Properties>
</file>